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企业主要财务状况和经营成果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2020年末，资产总额1431.21万元，负债总额551.16万元，所有者权益总额880.05万元，资产负债率为38.51%。2020年营业收入3031.19亿元，利润总额-119.72万元。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BED3C7E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